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E8C7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321902D2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048DF4C1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54F34802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41E61E6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6C9E80FB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7C70184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4891E0D2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1F6AB727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5C0104FE" w14:textId="60970CBC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>w rejonie ul. Kazdębie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„Kazdębie”,</w:t>
      </w:r>
      <w:r w:rsidR="003E7A93"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 w:rsidR="003E7A93"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 w:rsidR="003E7A93"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>geodezyjnym 2328/</w:t>
      </w:r>
      <w:r w:rsidR="002F09BC">
        <w:rPr>
          <w:rStyle w:val="Brak"/>
          <w:b/>
          <w:sz w:val="22"/>
          <w:szCs w:val="22"/>
        </w:rPr>
        <w:t>1</w:t>
      </w:r>
      <w:r w:rsidR="00B12288">
        <w:rPr>
          <w:rStyle w:val="Brak"/>
          <w:b/>
          <w:sz w:val="22"/>
          <w:szCs w:val="22"/>
        </w:rPr>
        <w:t>8</w:t>
      </w:r>
      <w:r w:rsidRPr="00AC68F2">
        <w:rPr>
          <w:rStyle w:val="Brak"/>
          <w:b/>
          <w:sz w:val="22"/>
          <w:szCs w:val="22"/>
        </w:rPr>
        <w:t xml:space="preserve">, obręb Strzemieszyce Małe, o powierzchni </w:t>
      </w:r>
      <w:r w:rsidR="003E7A93">
        <w:rPr>
          <w:rStyle w:val="Brak"/>
          <w:b/>
          <w:sz w:val="22"/>
          <w:szCs w:val="22"/>
        </w:rPr>
        <w:t>0,</w:t>
      </w:r>
      <w:r w:rsidR="002F09BC">
        <w:rPr>
          <w:rStyle w:val="Brak"/>
          <w:b/>
          <w:sz w:val="22"/>
          <w:szCs w:val="22"/>
        </w:rPr>
        <w:t xml:space="preserve">5500 </w:t>
      </w:r>
      <w:r w:rsidRPr="00AC68F2">
        <w:rPr>
          <w:rStyle w:val="Brak"/>
          <w:b/>
          <w:sz w:val="22"/>
          <w:szCs w:val="22"/>
        </w:rPr>
        <w:t>ha</w:t>
      </w:r>
      <w:r w:rsidRPr="002820E9">
        <w:rPr>
          <w:rStyle w:val="Brak"/>
          <w:sz w:val="22"/>
          <w:szCs w:val="22"/>
        </w:rPr>
        <w:t>.</w:t>
      </w:r>
    </w:p>
    <w:p w14:paraId="2E297C76" w14:textId="27644E4C" w:rsidR="00AC68F2" w:rsidRDefault="002F09BC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CC3DD3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</w:t>
      </w:r>
      <w:r>
        <w:rPr>
          <w:rStyle w:val="Brak"/>
          <w:color w:val="auto"/>
          <w:spacing w:val="-6"/>
          <w:sz w:val="22"/>
          <w:szCs w:val="22"/>
        </w:rPr>
        <w:t>14,6918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ha, przedmiotowa działka wpisana jest pod numerem </w:t>
      </w:r>
      <w:r>
        <w:rPr>
          <w:rStyle w:val="Brak"/>
          <w:color w:val="auto"/>
          <w:spacing w:val="-6"/>
          <w:sz w:val="22"/>
          <w:szCs w:val="22"/>
        </w:rPr>
        <w:t>65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 (identyfikator 246501_1.001</w:t>
      </w:r>
      <w:r w:rsidR="00AF1B9D">
        <w:rPr>
          <w:rStyle w:val="Brak"/>
          <w:color w:val="auto"/>
          <w:spacing w:val="-6"/>
          <w:sz w:val="22"/>
          <w:szCs w:val="22"/>
        </w:rPr>
        <w:t>2</w:t>
      </w:r>
      <w:r w:rsidRPr="00CC3DD3">
        <w:rPr>
          <w:rStyle w:val="Brak"/>
          <w:color w:val="auto"/>
          <w:spacing w:val="-6"/>
          <w:sz w:val="22"/>
          <w:szCs w:val="22"/>
        </w:rPr>
        <w:t>.</w:t>
      </w:r>
      <w:r w:rsidR="00AF1B9D">
        <w:rPr>
          <w:rStyle w:val="Brak"/>
          <w:color w:val="auto"/>
          <w:spacing w:val="-6"/>
          <w:sz w:val="22"/>
          <w:szCs w:val="22"/>
        </w:rPr>
        <w:t>2328/18</w:t>
      </w:r>
      <w:r w:rsidRPr="00CC3DD3">
        <w:rPr>
          <w:rStyle w:val="Brak"/>
          <w:color w:val="auto"/>
          <w:spacing w:val="-6"/>
          <w:sz w:val="22"/>
          <w:szCs w:val="22"/>
        </w:rPr>
        <w:t xml:space="preserve">). </w:t>
      </w:r>
      <w:r w:rsidRPr="00D83457">
        <w:rPr>
          <w:rStyle w:val="Brak"/>
          <w:spacing w:val="-6"/>
          <w:sz w:val="22"/>
          <w:szCs w:val="22"/>
        </w:rPr>
        <w:t xml:space="preserve">Zgodnie z wpisami zawartymi w księdze wieczystej </w:t>
      </w:r>
      <w:r w:rsidR="00857E67">
        <w:rPr>
          <w:rStyle w:val="Brak"/>
          <w:spacing w:val="-6"/>
          <w:sz w:val="22"/>
          <w:szCs w:val="22"/>
        </w:rPr>
        <w:t>przedmiotowa działka</w:t>
      </w:r>
      <w:r w:rsidRPr="00D83457">
        <w:rPr>
          <w:rStyle w:val="Brak"/>
          <w:spacing w:val="-6"/>
          <w:sz w:val="22"/>
          <w:szCs w:val="22"/>
        </w:rPr>
        <w:t xml:space="preserve"> stanowi własność Gminy Dąbrowa Górnicza, nie jest obciążona ograniczonymi prawami rzeczowymi i nie jest przedmiotem zobowiązań</w:t>
      </w:r>
      <w:r w:rsidR="00857E67">
        <w:rPr>
          <w:rStyle w:val="Brak"/>
          <w:spacing w:val="-6"/>
          <w:sz w:val="22"/>
          <w:szCs w:val="22"/>
        </w:rPr>
        <w:t xml:space="preserve"> -</w:t>
      </w:r>
      <w:r>
        <w:rPr>
          <w:rStyle w:val="Brak"/>
          <w:spacing w:val="-6"/>
          <w:sz w:val="22"/>
          <w:szCs w:val="22"/>
        </w:rPr>
        <w:t xml:space="preserve"> </w:t>
      </w:r>
      <w:r w:rsidR="00857E67">
        <w:rPr>
          <w:rStyle w:val="Brak"/>
          <w:color w:val="auto"/>
          <w:spacing w:val="-6"/>
          <w:sz w:val="22"/>
          <w:szCs w:val="22"/>
        </w:rPr>
        <w:t>d</w:t>
      </w:r>
      <w:r w:rsidRPr="00CC3DD3">
        <w:rPr>
          <w:rStyle w:val="Brak"/>
          <w:color w:val="auto"/>
          <w:spacing w:val="-6"/>
          <w:sz w:val="22"/>
          <w:szCs w:val="22"/>
        </w:rPr>
        <w:t>ziały I-</w:t>
      </w:r>
      <w:proofErr w:type="spellStart"/>
      <w:r w:rsidRPr="00CC3DD3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Pr="00CC3DD3">
        <w:rPr>
          <w:rStyle w:val="Brak"/>
          <w:color w:val="auto"/>
          <w:spacing w:val="-6"/>
          <w:sz w:val="22"/>
          <w:szCs w:val="22"/>
        </w:rPr>
        <w:t>, III i IV księgi wieczystej wolne są od wpisów</w:t>
      </w:r>
      <w:r w:rsidR="00AF1B9D">
        <w:rPr>
          <w:rStyle w:val="Brak"/>
          <w:color w:val="auto"/>
          <w:spacing w:val="-6"/>
          <w:sz w:val="22"/>
          <w:szCs w:val="22"/>
        </w:rPr>
        <w:t xml:space="preserve"> dotyczących przedmiotowej działki</w:t>
      </w:r>
      <w:r w:rsidR="00AC68F2" w:rsidRPr="00AC68F2">
        <w:rPr>
          <w:rStyle w:val="Brak"/>
          <w:sz w:val="22"/>
          <w:szCs w:val="22"/>
        </w:rPr>
        <w:t>.</w:t>
      </w:r>
    </w:p>
    <w:p w14:paraId="08987BD5" w14:textId="79F4D9B3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jest regularny</w:t>
      </w:r>
      <w:r w:rsidR="00B93AD4">
        <w:rPr>
          <w:rStyle w:val="Brak"/>
          <w:sz w:val="22"/>
          <w:szCs w:val="22"/>
        </w:rPr>
        <w:t xml:space="preserve"> zbliżony do trapezu</w:t>
      </w:r>
      <w:r w:rsidR="00F9256E" w:rsidRPr="00AC68F2">
        <w:rPr>
          <w:rStyle w:val="Brak"/>
          <w:sz w:val="22"/>
          <w:szCs w:val="22"/>
        </w:rPr>
        <w:t xml:space="preserve">.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wolna</w:t>
      </w:r>
      <w:r w:rsidR="00F9256E" w:rsidRPr="00AC68F2">
        <w:rPr>
          <w:rStyle w:val="Brak"/>
          <w:sz w:val="22"/>
          <w:szCs w:val="22"/>
        </w:rPr>
        <w:t xml:space="preserve"> od </w:t>
      </w:r>
      <w:proofErr w:type="spellStart"/>
      <w:r w:rsidR="00F9256E" w:rsidRPr="00AC68F2">
        <w:rPr>
          <w:rStyle w:val="Brak"/>
          <w:sz w:val="22"/>
          <w:szCs w:val="22"/>
        </w:rPr>
        <w:t>zadrzewień</w:t>
      </w:r>
      <w:proofErr w:type="spellEnd"/>
      <w:r w:rsidR="00F9256E" w:rsidRPr="00AC68F2">
        <w:rPr>
          <w:rStyle w:val="Brak"/>
          <w:sz w:val="22"/>
          <w:szCs w:val="22"/>
        </w:rPr>
        <w:t xml:space="preserve"> i </w:t>
      </w:r>
      <w:proofErr w:type="spellStart"/>
      <w:r w:rsidR="00F9256E" w:rsidRPr="00AC68F2">
        <w:rPr>
          <w:rStyle w:val="Brak"/>
          <w:sz w:val="22"/>
          <w:szCs w:val="22"/>
        </w:rPr>
        <w:t>zakrzewień</w:t>
      </w:r>
      <w:proofErr w:type="spellEnd"/>
      <w:r>
        <w:rPr>
          <w:rStyle w:val="Brak"/>
          <w:sz w:val="22"/>
          <w:szCs w:val="22"/>
        </w:rPr>
        <w:t>. Nieruchomość posiada</w:t>
      </w:r>
      <w:r w:rsidR="00F9256E" w:rsidRPr="00AC68F2">
        <w:rPr>
          <w:rStyle w:val="Brak"/>
          <w:sz w:val="22"/>
          <w:szCs w:val="22"/>
        </w:rPr>
        <w:t xml:space="preserve"> dostęp do drogi </w:t>
      </w:r>
      <w:proofErr w:type="spellStart"/>
      <w:r w:rsidR="00F9256E" w:rsidRPr="00AC68F2">
        <w:rPr>
          <w:rStyle w:val="Brak"/>
          <w:sz w:val="22"/>
          <w:szCs w:val="22"/>
        </w:rPr>
        <w:t>wojew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dzkiej</w:t>
      </w:r>
      <w:proofErr w:type="spellEnd"/>
      <w:r w:rsidR="00F9256E" w:rsidRPr="00AC68F2">
        <w:rPr>
          <w:rStyle w:val="Brak"/>
          <w:sz w:val="22"/>
          <w:szCs w:val="22"/>
        </w:rPr>
        <w:t xml:space="preserve"> nr 790 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 2328/13, 2279/2, 2275/2, 2278/2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5CD3605C" w14:textId="7777777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użytek oznaczony symbolem Ba – tereny przemysłowe</w:t>
      </w:r>
      <w:r>
        <w:rPr>
          <w:rStyle w:val="Brak"/>
          <w:sz w:val="22"/>
          <w:szCs w:val="22"/>
        </w:rPr>
        <w:t>.</w:t>
      </w:r>
    </w:p>
    <w:p w14:paraId="34249C4A" w14:textId="6343186F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przebiega </w:t>
      </w:r>
      <w:r w:rsidR="00B93AD4">
        <w:rPr>
          <w:rStyle w:val="Brak"/>
          <w:sz w:val="22"/>
          <w:szCs w:val="22"/>
        </w:rPr>
        <w:t xml:space="preserve">podstawowa infrastruktura techniczna, tj. </w:t>
      </w:r>
      <w:r w:rsidRPr="00AC68F2">
        <w:rPr>
          <w:rStyle w:val="Brak"/>
          <w:sz w:val="22"/>
          <w:szCs w:val="22"/>
        </w:rPr>
        <w:t xml:space="preserve">infrastruktura wodociągowa, kanalizacyjna </w:t>
      </w:r>
      <w:r w:rsidR="00B93AD4">
        <w:rPr>
          <w:rStyle w:val="Brak"/>
          <w:sz w:val="22"/>
          <w:szCs w:val="22"/>
        </w:rPr>
        <w:t>oraz elektroenergetyczna</w:t>
      </w:r>
      <w:r w:rsidRPr="00AC68F2">
        <w:rPr>
          <w:rStyle w:val="Brak"/>
          <w:sz w:val="22"/>
          <w:szCs w:val="22"/>
        </w:rPr>
        <w:t xml:space="preserve">. W pobliżu nieruchomości przebiega infrastruktura gazowa oraz telekomunikacyjna. Szczegółowe warunki i miejsce podłączenia </w:t>
      </w:r>
      <w:proofErr w:type="spellStart"/>
      <w:r w:rsidRPr="00AC68F2">
        <w:rPr>
          <w:rStyle w:val="Brak"/>
          <w:sz w:val="22"/>
          <w:szCs w:val="22"/>
        </w:rPr>
        <w:t>medi</w:t>
      </w:r>
      <w:proofErr w:type="spellEnd"/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określają właściciele infrastruktury technicznej poprzez wydanie</w:t>
      </w:r>
      <w:r w:rsidR="00A82705">
        <w:rPr>
          <w:rStyle w:val="Brak"/>
          <w:sz w:val="22"/>
          <w:szCs w:val="22"/>
        </w:rPr>
        <w:t>,</w:t>
      </w:r>
      <w:r w:rsidRPr="00AC68F2">
        <w:rPr>
          <w:rStyle w:val="Brak"/>
          <w:sz w:val="22"/>
          <w:szCs w:val="22"/>
        </w:rPr>
        <w:t xml:space="preserve"> na wniosek inwestora, warunk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>w technicznych przyłączenia do sieci. Gmina Dąbrowa G</w:t>
      </w:r>
      <w:r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Pr="00AC68F2">
        <w:rPr>
          <w:rStyle w:val="Brak"/>
          <w:sz w:val="22"/>
          <w:szCs w:val="22"/>
        </w:rPr>
        <w:t>rnicza</w:t>
      </w:r>
      <w:proofErr w:type="spellEnd"/>
      <w:r w:rsidRPr="00AC68F2">
        <w:rPr>
          <w:rStyle w:val="Brak"/>
          <w:sz w:val="22"/>
          <w:szCs w:val="22"/>
        </w:rPr>
        <w:t xml:space="preserve"> </w:t>
      </w:r>
      <w:r w:rsidR="00D24706">
        <w:rPr>
          <w:rStyle w:val="Brak"/>
          <w:sz w:val="22"/>
          <w:szCs w:val="22"/>
        </w:rPr>
        <w:t xml:space="preserve">oraz KSSE </w:t>
      </w:r>
      <w:r w:rsidRPr="00AC68F2">
        <w:rPr>
          <w:rStyle w:val="Brak"/>
          <w:sz w:val="22"/>
          <w:szCs w:val="22"/>
        </w:rPr>
        <w:t>nie ponos</w:t>
      </w:r>
      <w:r w:rsidR="00D24706">
        <w:rPr>
          <w:rStyle w:val="Brak"/>
          <w:sz w:val="22"/>
          <w:szCs w:val="22"/>
        </w:rPr>
        <w:t>zą</w:t>
      </w:r>
      <w:r w:rsidRPr="00AC68F2">
        <w:rPr>
          <w:rStyle w:val="Brak"/>
          <w:sz w:val="22"/>
          <w:szCs w:val="22"/>
        </w:rPr>
        <w:t xml:space="preserve"> odpowiedzialności za sieci </w:t>
      </w:r>
      <w:r w:rsidR="00E53DD7">
        <w:rPr>
          <w:rStyle w:val="Brak"/>
          <w:sz w:val="22"/>
          <w:szCs w:val="22"/>
        </w:rPr>
        <w:t>przebieg</w:t>
      </w:r>
      <w:r w:rsidR="002820E9">
        <w:rPr>
          <w:rStyle w:val="Brak"/>
          <w:sz w:val="22"/>
          <w:szCs w:val="22"/>
        </w:rPr>
        <w:t>ające przez przedmiotową nieruchomość</w:t>
      </w:r>
      <w:r w:rsidRPr="00AC68F2">
        <w:rPr>
          <w:rStyle w:val="Brak"/>
          <w:sz w:val="22"/>
          <w:szCs w:val="22"/>
        </w:rPr>
        <w:t>, nieujawnione na istniejących mapach geodezyjnych i w dokumentach</w:t>
      </w:r>
      <w:r>
        <w:rPr>
          <w:rStyle w:val="Brak"/>
          <w:sz w:val="22"/>
          <w:szCs w:val="22"/>
        </w:rPr>
        <w:t>.</w:t>
      </w:r>
    </w:p>
    <w:p w14:paraId="7B8C87D0" w14:textId="7777777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F9256E" w:rsidRPr="00AC68F2">
        <w:rPr>
          <w:rStyle w:val="Brak"/>
          <w:sz w:val="22"/>
          <w:szCs w:val="22"/>
        </w:rPr>
        <w:t>Zgodnie z obowiązującym „Miejscowym planem zagospodarowania przestrzennego miasta Dąbrowy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dla teren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 xml:space="preserve">w położonych w rejonie Strzemieszyc Małych i </w:t>
      </w:r>
      <w:proofErr w:type="spellStart"/>
      <w:r w:rsidR="00F9256E" w:rsidRPr="00AC68F2">
        <w:rPr>
          <w:rStyle w:val="Brak"/>
          <w:sz w:val="22"/>
          <w:szCs w:val="22"/>
        </w:rPr>
        <w:t>Kazdę</w:t>
      </w:r>
      <w:proofErr w:type="spellEnd"/>
      <w:r w:rsidR="00F9256E" w:rsidRPr="00AC68F2">
        <w:rPr>
          <w:rStyle w:val="Brak"/>
          <w:sz w:val="22"/>
          <w:szCs w:val="22"/>
          <w:lang w:val="it-IT"/>
        </w:rPr>
        <w:t>bia</w:t>
      </w:r>
      <w:r w:rsidR="00F9256E" w:rsidRPr="00AC68F2">
        <w:rPr>
          <w:rStyle w:val="Brak"/>
          <w:sz w:val="22"/>
          <w:szCs w:val="22"/>
        </w:rPr>
        <w:t>” zatwierdzonym Uchwałą Nr XLII/795/05 Rady Miejskiej w Dąbrowie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rniczej</w:t>
      </w:r>
      <w:proofErr w:type="spellEnd"/>
      <w:r w:rsidR="00F9256E" w:rsidRPr="00AC68F2">
        <w:rPr>
          <w:rStyle w:val="Brak"/>
          <w:sz w:val="22"/>
          <w:szCs w:val="22"/>
        </w:rPr>
        <w:t xml:space="preserve"> z dnia 31 maja 2005 r., opublikowaną w Dz. Urz. Woj. Śl. Nr 82 poz. 2231 z dnia </w:t>
      </w:r>
      <w:r>
        <w:rPr>
          <w:rStyle w:val="Brak"/>
          <w:sz w:val="22"/>
          <w:szCs w:val="22"/>
        </w:rPr>
        <w:t>30 czerwca 2005 r., przedmiotowa nieruchomość znajduje</w:t>
      </w:r>
      <w:r w:rsidR="00F9256E" w:rsidRPr="00AC68F2">
        <w:rPr>
          <w:rStyle w:val="Brak"/>
          <w:sz w:val="22"/>
          <w:szCs w:val="22"/>
        </w:rPr>
        <w:t xml:space="preserve"> się na obszarze oznaczonym symbolem: </w:t>
      </w:r>
      <w:r w:rsidR="00F9256E" w:rsidRPr="00D24706">
        <w:rPr>
          <w:rStyle w:val="Brak"/>
          <w:b/>
          <w:bCs/>
          <w:sz w:val="22"/>
          <w:szCs w:val="22"/>
        </w:rPr>
        <w:t>1PU – tereny zabudowy produkcyjno-usługowej</w:t>
      </w:r>
      <w:r w:rsidR="00F9256E" w:rsidRPr="00D24706">
        <w:rPr>
          <w:rStyle w:val="Brak"/>
          <w:sz w:val="22"/>
          <w:szCs w:val="22"/>
        </w:rPr>
        <w:t>.</w:t>
      </w:r>
    </w:p>
    <w:p w14:paraId="59433AF6" w14:textId="53BCE62E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rniczej</w:t>
      </w:r>
      <w:proofErr w:type="spellEnd"/>
      <w:r w:rsidRPr="00F9256E">
        <w:rPr>
          <w:rStyle w:val="Brak"/>
          <w:i/>
          <w:sz w:val="22"/>
          <w:szCs w:val="22"/>
        </w:rPr>
        <w:t xml:space="preserve"> lub w siedzibie </w:t>
      </w:r>
      <w:r w:rsidR="00B12288">
        <w:rPr>
          <w:rStyle w:val="Brak"/>
          <w:i/>
          <w:sz w:val="22"/>
          <w:szCs w:val="22"/>
        </w:rPr>
        <w:t>Z</w:t>
      </w:r>
      <w:r w:rsidRPr="00F9256E">
        <w:rPr>
          <w:rStyle w:val="Brak"/>
          <w:i/>
          <w:sz w:val="22"/>
          <w:szCs w:val="22"/>
        </w:rPr>
        <w:t>arządzającego</w:t>
      </w:r>
      <w:r>
        <w:rPr>
          <w:rStyle w:val="Brak"/>
          <w:sz w:val="22"/>
          <w:szCs w:val="22"/>
        </w:rPr>
        <w:t>.</w:t>
      </w:r>
    </w:p>
    <w:p w14:paraId="0339C7B6" w14:textId="2F3B448D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A"/>
          <w:sz w:val="22"/>
          <w:szCs w:val="22"/>
        </w:rPr>
        <w:t>rniczej</w:t>
      </w:r>
      <w:proofErr w:type="spellEnd"/>
      <w:r w:rsidR="00F9256E" w:rsidRPr="00AC68F2">
        <w:rPr>
          <w:rStyle w:val="BrakA"/>
          <w:sz w:val="22"/>
          <w:szCs w:val="22"/>
        </w:rPr>
        <w:t xml:space="preserve">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</w:t>
      </w:r>
      <w:proofErr w:type="spellStart"/>
      <w:r w:rsidR="00F9256E" w:rsidRPr="00AC68F2">
        <w:rPr>
          <w:rStyle w:val="Brak"/>
          <w:sz w:val="22"/>
          <w:szCs w:val="22"/>
        </w:rPr>
        <w:t>kt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 xml:space="preserve">(Dz.U. z </w:t>
      </w:r>
      <w:r w:rsidR="00931463" w:rsidRPr="00E5369F">
        <w:rPr>
          <w:rStyle w:val="Brak"/>
          <w:color w:val="auto"/>
          <w:sz w:val="22"/>
          <w:szCs w:val="22"/>
        </w:rPr>
        <w:t>2024 r. poz. 530</w:t>
      </w:r>
      <w:r w:rsidR="00D041CB" w:rsidRPr="00CE4CB5">
        <w:rPr>
          <w:rStyle w:val="Brak"/>
          <w:color w:val="000000" w:themeColor="text1"/>
          <w:sz w:val="22"/>
          <w:szCs w:val="22"/>
        </w:rPr>
        <w:t xml:space="preserve"> z </w:t>
      </w:r>
      <w:proofErr w:type="spellStart"/>
      <w:r w:rsidR="00D041CB" w:rsidRPr="00CE4CB5">
        <w:rPr>
          <w:rStyle w:val="Brak"/>
          <w:color w:val="000000" w:themeColor="text1"/>
          <w:sz w:val="22"/>
          <w:szCs w:val="22"/>
        </w:rPr>
        <w:t>późn</w:t>
      </w:r>
      <w:proofErr w:type="spellEnd"/>
      <w:r w:rsidR="00D041CB" w:rsidRPr="00CE4CB5">
        <w:rPr>
          <w:rStyle w:val="Brak"/>
          <w:color w:val="000000" w:themeColor="text1"/>
          <w:sz w:val="22"/>
          <w:szCs w:val="22"/>
        </w:rPr>
        <w:t>. zm.</w:t>
      </w:r>
      <w:r w:rsidR="00D24706" w:rsidRPr="00CE4CB5">
        <w:rPr>
          <w:rStyle w:val="Brak"/>
          <w:color w:val="000000" w:themeColor="text1"/>
          <w:sz w:val="22"/>
          <w:szCs w:val="22"/>
        </w:rPr>
        <w:t>).</w:t>
      </w:r>
    </w:p>
    <w:p w14:paraId="5AAF4A83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>Niezależnie od podanych powyżej informacji, Nabywca odpowiada za samodzielne zapoznanie się ze 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11CA62AE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1C386496" w14:textId="1018EB8C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 xml:space="preserve">usunięciem z terenu </w:t>
      </w:r>
      <w:r w:rsidR="008C5438" w:rsidRPr="002C0718">
        <w:rPr>
          <w:color w:val="000000" w:themeColor="text1"/>
          <w:sz w:val="22"/>
        </w:rPr>
        <w:lastRenderedPageBreak/>
        <w:t>nieruchomości ewentualnych zanieczyszczeń lub innych rzeczy kolidujących</w:t>
      </w:r>
      <w:r w:rsidR="00DB5720">
        <w:rPr>
          <w:color w:val="000000" w:themeColor="text1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 xml:space="preserve">z inwestycją </w:t>
      </w:r>
      <w:r w:rsidRPr="002C0718">
        <w:rPr>
          <w:color w:val="000000" w:themeColor="text1"/>
          <w:sz w:val="22"/>
        </w:rPr>
        <w:t>ponosi 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3A778AE3" w14:textId="5C3E3493" w:rsidR="00BC012D" w:rsidRPr="00BC012D" w:rsidRDefault="00541B2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B12288">
        <w:rPr>
          <w:rStyle w:val="Brak"/>
          <w:b/>
          <w:sz w:val="22"/>
          <w:szCs w:val="22"/>
        </w:rPr>
        <w:t>1.</w:t>
      </w:r>
      <w:r w:rsidR="00B93AD4">
        <w:rPr>
          <w:rStyle w:val="Brak"/>
          <w:b/>
          <w:sz w:val="22"/>
          <w:szCs w:val="22"/>
        </w:rPr>
        <w:t>074</w:t>
      </w:r>
      <w:r w:rsidRPr="00AC68F2">
        <w:rPr>
          <w:rStyle w:val="Brak"/>
          <w:b/>
          <w:sz w:val="22"/>
          <w:szCs w:val="22"/>
        </w:rPr>
        <w:t>.</w:t>
      </w:r>
      <w:r w:rsidR="00B93AD4">
        <w:rPr>
          <w:rStyle w:val="Brak"/>
          <w:b/>
          <w:sz w:val="22"/>
          <w:szCs w:val="22"/>
        </w:rPr>
        <w:t>6</w:t>
      </w:r>
      <w:r w:rsidR="00D24706">
        <w:rPr>
          <w:rStyle w:val="Brak"/>
          <w:b/>
          <w:sz w:val="22"/>
          <w:szCs w:val="22"/>
        </w:rPr>
        <w:t>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 w:rsidR="00B12288">
        <w:rPr>
          <w:rStyle w:val="Brak"/>
          <w:sz w:val="22"/>
          <w:szCs w:val="22"/>
        </w:rPr>
        <w:t xml:space="preserve">jeden </w:t>
      </w:r>
      <w:r w:rsidR="00A048CA">
        <w:rPr>
          <w:rStyle w:val="Brak"/>
          <w:sz w:val="22"/>
          <w:szCs w:val="22"/>
        </w:rPr>
        <w:t xml:space="preserve">milion </w:t>
      </w:r>
      <w:r w:rsidR="00B93AD4">
        <w:rPr>
          <w:rStyle w:val="Brak"/>
          <w:sz w:val="22"/>
          <w:szCs w:val="22"/>
        </w:rPr>
        <w:t xml:space="preserve">siedemdziesiąt </w:t>
      </w:r>
      <w:r w:rsidR="00496BC6">
        <w:rPr>
          <w:rStyle w:val="Brak"/>
          <w:sz w:val="22"/>
          <w:szCs w:val="22"/>
        </w:rPr>
        <w:t xml:space="preserve">cztery </w:t>
      </w:r>
      <w:r w:rsidRPr="00AC68F2">
        <w:rPr>
          <w:rStyle w:val="Brak"/>
          <w:sz w:val="22"/>
          <w:szCs w:val="22"/>
        </w:rPr>
        <w:t>tysi</w:t>
      </w:r>
      <w:r w:rsidR="00496BC6">
        <w:rPr>
          <w:rStyle w:val="Brak"/>
          <w:sz w:val="22"/>
          <w:szCs w:val="22"/>
        </w:rPr>
        <w:t xml:space="preserve">ące </w:t>
      </w:r>
      <w:r w:rsidR="00B93AD4">
        <w:rPr>
          <w:rStyle w:val="Brak"/>
          <w:sz w:val="22"/>
          <w:szCs w:val="22"/>
        </w:rPr>
        <w:t xml:space="preserve">sześćset </w:t>
      </w:r>
      <w:r w:rsidRPr="00AC68F2">
        <w:rPr>
          <w:rStyle w:val="Brak"/>
          <w:sz w:val="22"/>
          <w:szCs w:val="22"/>
          <w:lang w:val="nl-NL"/>
        </w:rPr>
        <w:t>z</w:t>
      </w:r>
      <w:proofErr w:type="spellStart"/>
      <w:r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E30E8C">
        <w:rPr>
          <w:rStyle w:val="Brak"/>
          <w:color w:val="auto"/>
          <w:spacing w:val="-6"/>
          <w:sz w:val="22"/>
          <w:szCs w:val="22"/>
        </w:rPr>
        <w:t>.</w:t>
      </w:r>
    </w:p>
    <w:p w14:paraId="1717E961" w14:textId="3FA1AB78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(Dz.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U. z 202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4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1145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</w:t>
      </w:r>
      <w:proofErr w:type="spellStart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późn</w:t>
      </w:r>
      <w:proofErr w:type="spellEnd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. zm.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Rozporządzenia Rady </w:t>
      </w:r>
      <w:proofErr w:type="spellStart"/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Ministr</w:t>
      </w:r>
      <w:proofErr w:type="spellEnd"/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B60E99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1FEDCD93" w14:textId="6671D609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B93AD4">
        <w:rPr>
          <w:rStyle w:val="Brak"/>
          <w:b/>
          <w:sz w:val="22"/>
          <w:szCs w:val="22"/>
        </w:rPr>
        <w:t>214</w:t>
      </w:r>
      <w:r w:rsidR="00496BC6">
        <w:rPr>
          <w:rStyle w:val="Brak"/>
          <w:b/>
          <w:sz w:val="22"/>
          <w:szCs w:val="22"/>
        </w:rPr>
        <w:t>.</w:t>
      </w:r>
      <w:r w:rsidR="00B93AD4">
        <w:rPr>
          <w:rStyle w:val="Brak"/>
          <w:b/>
          <w:sz w:val="22"/>
          <w:szCs w:val="22"/>
        </w:rPr>
        <w:t>920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B93AD4">
        <w:rPr>
          <w:rStyle w:val="Brak"/>
          <w:sz w:val="22"/>
          <w:szCs w:val="22"/>
        </w:rPr>
        <w:t xml:space="preserve">dwieście czternaście </w:t>
      </w:r>
      <w:r w:rsidR="008E712A" w:rsidRPr="00AC68F2">
        <w:rPr>
          <w:rStyle w:val="Brak"/>
          <w:sz w:val="22"/>
          <w:szCs w:val="22"/>
        </w:rPr>
        <w:t>tys</w:t>
      </w:r>
      <w:r w:rsidR="00496BC6">
        <w:rPr>
          <w:rStyle w:val="Brak"/>
          <w:sz w:val="22"/>
          <w:szCs w:val="22"/>
        </w:rPr>
        <w:t>i</w:t>
      </w:r>
      <w:r w:rsidR="00B12288">
        <w:rPr>
          <w:rStyle w:val="Brak"/>
          <w:sz w:val="22"/>
          <w:szCs w:val="22"/>
        </w:rPr>
        <w:t>ę</w:t>
      </w:r>
      <w:r w:rsidR="00496BC6">
        <w:rPr>
          <w:rStyle w:val="Brak"/>
          <w:sz w:val="22"/>
          <w:szCs w:val="22"/>
        </w:rPr>
        <w:t>c</w:t>
      </w:r>
      <w:r w:rsidR="00B12288">
        <w:rPr>
          <w:rStyle w:val="Brak"/>
          <w:sz w:val="22"/>
          <w:szCs w:val="22"/>
        </w:rPr>
        <w:t>y</w:t>
      </w:r>
      <w:r w:rsidR="008E712A" w:rsidRPr="00AC68F2">
        <w:rPr>
          <w:rStyle w:val="Brak"/>
          <w:sz w:val="22"/>
          <w:szCs w:val="22"/>
        </w:rPr>
        <w:t xml:space="preserve"> </w:t>
      </w:r>
      <w:r w:rsidR="00B93AD4">
        <w:rPr>
          <w:rStyle w:val="Brak"/>
          <w:sz w:val="22"/>
          <w:szCs w:val="22"/>
        </w:rPr>
        <w:t xml:space="preserve">dziewięćset </w:t>
      </w:r>
      <w:r w:rsidR="002845BC">
        <w:rPr>
          <w:rStyle w:val="Brak"/>
          <w:sz w:val="22"/>
          <w:szCs w:val="22"/>
        </w:rPr>
        <w:t>dwadzieścia</w:t>
      </w:r>
      <w:r w:rsidR="00B93AD4">
        <w:rPr>
          <w:rStyle w:val="Brak"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2845BC">
        <w:rPr>
          <w:rStyle w:val="Brak"/>
          <w:b/>
          <w:sz w:val="22"/>
          <w:szCs w:val="22"/>
          <w:u w:val="single"/>
        </w:rPr>
        <w:t>20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B12288">
        <w:rPr>
          <w:rStyle w:val="Brak"/>
          <w:b/>
          <w:sz w:val="22"/>
          <w:szCs w:val="22"/>
          <w:u w:val="single"/>
        </w:rPr>
        <w:t>0</w:t>
      </w:r>
      <w:r w:rsidR="002845BC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12288"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00F44F15" w14:textId="165802F9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20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378A817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7958BD8" w14:textId="4976BF48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>
        <w:rPr>
          <w:rStyle w:val="Brak"/>
          <w:b/>
          <w:bCs/>
          <w:sz w:val="22"/>
          <w:szCs w:val="22"/>
        </w:rPr>
        <w:t>Kazdębie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</w:t>
      </w:r>
      <w:r w:rsidR="007B36DF">
        <w:rPr>
          <w:rStyle w:val="Brak"/>
          <w:b/>
          <w:bCs/>
          <w:sz w:val="22"/>
          <w:szCs w:val="22"/>
        </w:rPr>
        <w:t>a</w:t>
      </w:r>
      <w:r>
        <w:rPr>
          <w:rStyle w:val="Brak"/>
          <w:b/>
          <w:bCs/>
          <w:sz w:val="22"/>
          <w:szCs w:val="22"/>
        </w:rPr>
        <w:t xml:space="preserve"> nr </w:t>
      </w:r>
      <w:r w:rsidR="00DA2CA9">
        <w:rPr>
          <w:rStyle w:val="Brak"/>
          <w:b/>
          <w:bCs/>
          <w:sz w:val="22"/>
          <w:szCs w:val="22"/>
        </w:rPr>
        <w:t>2328/</w:t>
      </w:r>
      <w:r w:rsidR="002845BC">
        <w:rPr>
          <w:rStyle w:val="Brak"/>
          <w:b/>
          <w:bCs/>
          <w:sz w:val="22"/>
          <w:szCs w:val="22"/>
        </w:rPr>
        <w:t>1</w:t>
      </w:r>
      <w:r w:rsidR="00B12288">
        <w:rPr>
          <w:rStyle w:val="Brak"/>
          <w:b/>
          <w:bCs/>
          <w:sz w:val="22"/>
          <w:szCs w:val="22"/>
        </w:rPr>
        <w:t>8</w:t>
      </w:r>
      <w:r w:rsidR="007B36DF">
        <w:rPr>
          <w:rStyle w:val="Brak"/>
          <w:b/>
          <w:bCs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1F22CC11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14FB5F8D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A8D609E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CC0504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28D5C868" w14:textId="77777777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2C76123A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48A609B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24D0B397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5865B1A" w14:textId="7C8B113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2024 r. </w:t>
      </w:r>
      <w:r w:rsidR="00FC533E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poz.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1061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3E61FDF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5057C604" w14:textId="749C4AE3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2845BC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10:00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52545B86" w14:textId="5951B9C3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</w:t>
      </w:r>
      <w:r w:rsidR="00B12288">
        <w:rPr>
          <w:rStyle w:val="Brak"/>
          <w:spacing w:val="-6"/>
          <w:sz w:val="22"/>
          <w:szCs w:val="22"/>
        </w:rPr>
        <w:t>Z</w:t>
      </w:r>
      <w:r w:rsidRPr="00AC68F2">
        <w:rPr>
          <w:rStyle w:val="Brak"/>
          <w:spacing w:val="-6"/>
          <w:sz w:val="22"/>
          <w:szCs w:val="22"/>
        </w:rPr>
        <w:t xml:space="preserve">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2845BC">
        <w:rPr>
          <w:rStyle w:val="Brak"/>
          <w:b/>
          <w:spacing w:val="-6"/>
          <w:sz w:val="22"/>
          <w:szCs w:val="22"/>
        </w:rPr>
        <w:t>30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B12288">
        <w:rPr>
          <w:rStyle w:val="Brak"/>
          <w:b/>
          <w:spacing w:val="-6"/>
          <w:sz w:val="22"/>
          <w:szCs w:val="22"/>
        </w:rPr>
        <w:t>0</w:t>
      </w:r>
      <w:r w:rsidR="002845BC">
        <w:rPr>
          <w:rStyle w:val="Brak"/>
          <w:b/>
          <w:spacing w:val="-6"/>
          <w:sz w:val="22"/>
          <w:szCs w:val="22"/>
        </w:rPr>
        <w:t>5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B12288">
        <w:rPr>
          <w:rStyle w:val="Brak"/>
          <w:b/>
          <w:spacing w:val="-6"/>
          <w:sz w:val="22"/>
          <w:szCs w:val="22"/>
        </w:rPr>
        <w:t>5 </w:t>
      </w:r>
      <w:r w:rsidRPr="00AC68F2">
        <w:rPr>
          <w:rStyle w:val="Brak"/>
          <w:b/>
          <w:spacing w:val="-6"/>
          <w:sz w:val="22"/>
          <w:szCs w:val="22"/>
        </w:rPr>
        <w:t xml:space="preserve">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0947F5E1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28B0762E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14B29A74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t>Prezydent Miasta Dąbrowy Górniczej zastrzega sobie prawo do:</w:t>
      </w:r>
    </w:p>
    <w:p w14:paraId="22DC2285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lastRenderedPageBreak/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7224FBA4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0FD6ACAE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39AB4A7B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7B551E28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0B72DD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50AF9E33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7C54EEA1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5F5C" w14:textId="77777777" w:rsidR="00E856BE" w:rsidRDefault="00E856BE">
      <w:r>
        <w:separator/>
      </w:r>
    </w:p>
  </w:endnote>
  <w:endnote w:type="continuationSeparator" w:id="0">
    <w:p w14:paraId="209A050F" w14:textId="77777777" w:rsidR="00E856BE" w:rsidRDefault="00E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568F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CC8C" w14:textId="77777777" w:rsidR="00E856BE" w:rsidRDefault="00E856BE">
      <w:r>
        <w:separator/>
      </w:r>
    </w:p>
  </w:footnote>
  <w:footnote w:type="continuationSeparator" w:id="0">
    <w:p w14:paraId="18986E0D" w14:textId="77777777" w:rsidR="00E856BE" w:rsidRDefault="00E856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9F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E2FDE4" wp14:editId="083304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04108CDF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7726743">
    <w:abstractNumId w:val="8"/>
  </w:num>
  <w:num w:numId="2" w16cid:durableId="546449033">
    <w:abstractNumId w:val="13"/>
  </w:num>
  <w:num w:numId="3" w16cid:durableId="684939646">
    <w:abstractNumId w:val="0"/>
  </w:num>
  <w:num w:numId="4" w16cid:durableId="695665313">
    <w:abstractNumId w:val="4"/>
  </w:num>
  <w:num w:numId="5" w16cid:durableId="1864396130">
    <w:abstractNumId w:val="14"/>
  </w:num>
  <w:num w:numId="6" w16cid:durableId="1047795448">
    <w:abstractNumId w:val="1"/>
  </w:num>
  <w:num w:numId="7" w16cid:durableId="459690308">
    <w:abstractNumId w:val="4"/>
    <w:lvlOverride w:ilvl="0">
      <w:startOverride w:val="2"/>
    </w:lvlOverride>
  </w:num>
  <w:num w:numId="8" w16cid:durableId="2084797194">
    <w:abstractNumId w:val="16"/>
  </w:num>
  <w:num w:numId="9" w16cid:durableId="917710762">
    <w:abstractNumId w:val="2"/>
  </w:num>
  <w:num w:numId="10" w16cid:durableId="1584531636">
    <w:abstractNumId w:val="4"/>
    <w:lvlOverride w:ilvl="0">
      <w:startOverride w:val="11"/>
    </w:lvlOverride>
  </w:num>
  <w:num w:numId="11" w16cid:durableId="1588732010">
    <w:abstractNumId w:val="12"/>
  </w:num>
  <w:num w:numId="12" w16cid:durableId="66266862">
    <w:abstractNumId w:val="9"/>
  </w:num>
  <w:num w:numId="13" w16cid:durableId="781345678">
    <w:abstractNumId w:val="4"/>
    <w:lvlOverride w:ilvl="0">
      <w:startOverride w:val="12"/>
    </w:lvlOverride>
  </w:num>
  <w:num w:numId="14" w16cid:durableId="691297711">
    <w:abstractNumId w:val="5"/>
  </w:num>
  <w:num w:numId="15" w16cid:durableId="432896241">
    <w:abstractNumId w:val="6"/>
  </w:num>
  <w:num w:numId="16" w16cid:durableId="1241259316">
    <w:abstractNumId w:val="15"/>
  </w:num>
  <w:num w:numId="17" w16cid:durableId="548105779">
    <w:abstractNumId w:val="3"/>
  </w:num>
  <w:num w:numId="18" w16cid:durableId="1159031131">
    <w:abstractNumId w:val="11"/>
  </w:num>
  <w:num w:numId="19" w16cid:durableId="2094818637">
    <w:abstractNumId w:val="7"/>
  </w:num>
  <w:num w:numId="20" w16cid:durableId="1507285681">
    <w:abstractNumId w:val="17"/>
  </w:num>
  <w:num w:numId="21" w16cid:durableId="1056397457">
    <w:abstractNumId w:val="4"/>
  </w:num>
  <w:num w:numId="22" w16cid:durableId="1597055215">
    <w:abstractNumId w:val="10"/>
  </w:num>
  <w:num w:numId="23" w16cid:durableId="30901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8519C"/>
    <w:rsid w:val="0009225B"/>
    <w:rsid w:val="000924C9"/>
    <w:rsid w:val="000936AA"/>
    <w:rsid w:val="0009447F"/>
    <w:rsid w:val="000A2C96"/>
    <w:rsid w:val="000C0A65"/>
    <w:rsid w:val="000C64F0"/>
    <w:rsid w:val="000D296A"/>
    <w:rsid w:val="000F56B7"/>
    <w:rsid w:val="000F6219"/>
    <w:rsid w:val="001004D8"/>
    <w:rsid w:val="001129F7"/>
    <w:rsid w:val="0013740C"/>
    <w:rsid w:val="00165C63"/>
    <w:rsid w:val="00197378"/>
    <w:rsid w:val="00197F3E"/>
    <w:rsid w:val="001A23A2"/>
    <w:rsid w:val="001C00D5"/>
    <w:rsid w:val="001C16EC"/>
    <w:rsid w:val="001D2954"/>
    <w:rsid w:val="001F5476"/>
    <w:rsid w:val="002109D9"/>
    <w:rsid w:val="002132A4"/>
    <w:rsid w:val="00221C7C"/>
    <w:rsid w:val="00223147"/>
    <w:rsid w:val="00257A84"/>
    <w:rsid w:val="002820E9"/>
    <w:rsid w:val="002845BC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2E7991"/>
    <w:rsid w:val="002F09BC"/>
    <w:rsid w:val="0030042C"/>
    <w:rsid w:val="00302C1C"/>
    <w:rsid w:val="003604EA"/>
    <w:rsid w:val="00394950"/>
    <w:rsid w:val="003A34E7"/>
    <w:rsid w:val="003A4E02"/>
    <w:rsid w:val="003A6419"/>
    <w:rsid w:val="003E7A93"/>
    <w:rsid w:val="004143C2"/>
    <w:rsid w:val="0041585E"/>
    <w:rsid w:val="00420325"/>
    <w:rsid w:val="00425F18"/>
    <w:rsid w:val="0045011C"/>
    <w:rsid w:val="004522C1"/>
    <w:rsid w:val="00454650"/>
    <w:rsid w:val="0046071C"/>
    <w:rsid w:val="00477B3E"/>
    <w:rsid w:val="00496BC6"/>
    <w:rsid w:val="004B47C2"/>
    <w:rsid w:val="004F230E"/>
    <w:rsid w:val="00526E32"/>
    <w:rsid w:val="00541B27"/>
    <w:rsid w:val="00544E2A"/>
    <w:rsid w:val="005454CC"/>
    <w:rsid w:val="00551267"/>
    <w:rsid w:val="005649E8"/>
    <w:rsid w:val="005A3496"/>
    <w:rsid w:val="005A4E03"/>
    <w:rsid w:val="005C1733"/>
    <w:rsid w:val="005D520C"/>
    <w:rsid w:val="005F218D"/>
    <w:rsid w:val="00602576"/>
    <w:rsid w:val="00627140"/>
    <w:rsid w:val="00645C6E"/>
    <w:rsid w:val="00655D6D"/>
    <w:rsid w:val="006641F5"/>
    <w:rsid w:val="006660EB"/>
    <w:rsid w:val="00691883"/>
    <w:rsid w:val="006A0B36"/>
    <w:rsid w:val="006C7168"/>
    <w:rsid w:val="006D455E"/>
    <w:rsid w:val="006E082E"/>
    <w:rsid w:val="00702A84"/>
    <w:rsid w:val="007120D4"/>
    <w:rsid w:val="00713D23"/>
    <w:rsid w:val="00716A0F"/>
    <w:rsid w:val="0073680B"/>
    <w:rsid w:val="00736B26"/>
    <w:rsid w:val="007A4EF4"/>
    <w:rsid w:val="007B36DF"/>
    <w:rsid w:val="007C333F"/>
    <w:rsid w:val="007C7DFA"/>
    <w:rsid w:val="007F1120"/>
    <w:rsid w:val="007F603B"/>
    <w:rsid w:val="007F6496"/>
    <w:rsid w:val="00841D50"/>
    <w:rsid w:val="00857E67"/>
    <w:rsid w:val="00861C2D"/>
    <w:rsid w:val="008C5438"/>
    <w:rsid w:val="008E10BB"/>
    <w:rsid w:val="008E3209"/>
    <w:rsid w:val="008E56C4"/>
    <w:rsid w:val="008E712A"/>
    <w:rsid w:val="008F2443"/>
    <w:rsid w:val="008F546E"/>
    <w:rsid w:val="009028ED"/>
    <w:rsid w:val="009049E4"/>
    <w:rsid w:val="00931463"/>
    <w:rsid w:val="00967347"/>
    <w:rsid w:val="00992E2D"/>
    <w:rsid w:val="009E1DA7"/>
    <w:rsid w:val="009E3559"/>
    <w:rsid w:val="009F1AA8"/>
    <w:rsid w:val="00A048CA"/>
    <w:rsid w:val="00A143C0"/>
    <w:rsid w:val="00A3161D"/>
    <w:rsid w:val="00A47CB3"/>
    <w:rsid w:val="00A56085"/>
    <w:rsid w:val="00A82705"/>
    <w:rsid w:val="00AB13EC"/>
    <w:rsid w:val="00AC68F2"/>
    <w:rsid w:val="00AD041B"/>
    <w:rsid w:val="00AF1B9D"/>
    <w:rsid w:val="00B12288"/>
    <w:rsid w:val="00B17220"/>
    <w:rsid w:val="00B20082"/>
    <w:rsid w:val="00B60F6C"/>
    <w:rsid w:val="00B7208C"/>
    <w:rsid w:val="00B814DA"/>
    <w:rsid w:val="00B93AD4"/>
    <w:rsid w:val="00B95EBF"/>
    <w:rsid w:val="00BA4CC6"/>
    <w:rsid w:val="00BB2B26"/>
    <w:rsid w:val="00BC012D"/>
    <w:rsid w:val="00BC0E50"/>
    <w:rsid w:val="00BC7720"/>
    <w:rsid w:val="00BE1835"/>
    <w:rsid w:val="00BF6E2F"/>
    <w:rsid w:val="00C147A1"/>
    <w:rsid w:val="00C2291B"/>
    <w:rsid w:val="00C4748F"/>
    <w:rsid w:val="00C639B7"/>
    <w:rsid w:val="00C63B35"/>
    <w:rsid w:val="00C77500"/>
    <w:rsid w:val="00C93344"/>
    <w:rsid w:val="00CA4355"/>
    <w:rsid w:val="00CE4CB5"/>
    <w:rsid w:val="00CF68C7"/>
    <w:rsid w:val="00D041CB"/>
    <w:rsid w:val="00D04FE9"/>
    <w:rsid w:val="00D05760"/>
    <w:rsid w:val="00D24706"/>
    <w:rsid w:val="00D25EBC"/>
    <w:rsid w:val="00D51503"/>
    <w:rsid w:val="00DA0157"/>
    <w:rsid w:val="00DA2CA9"/>
    <w:rsid w:val="00DA6593"/>
    <w:rsid w:val="00DB5720"/>
    <w:rsid w:val="00DF58A5"/>
    <w:rsid w:val="00E06E84"/>
    <w:rsid w:val="00E30E8C"/>
    <w:rsid w:val="00E32464"/>
    <w:rsid w:val="00E354CE"/>
    <w:rsid w:val="00E5369F"/>
    <w:rsid w:val="00E53DD7"/>
    <w:rsid w:val="00E73AF0"/>
    <w:rsid w:val="00E81559"/>
    <w:rsid w:val="00E84B72"/>
    <w:rsid w:val="00E856BE"/>
    <w:rsid w:val="00ED16A2"/>
    <w:rsid w:val="00F9256E"/>
    <w:rsid w:val="00FB26B2"/>
    <w:rsid w:val="00FC533E"/>
    <w:rsid w:val="00FD18B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B23"/>
  <w15:docId w15:val="{142DEEC6-6B9F-3141-B979-7309407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1451</Words>
  <Characters>8706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2024-04-19T08:37:00Z</cp:lastPrinted>
  <dcterms:created xsi:type="dcterms:W3CDTF">2025-04-24T09:37:00Z</dcterms:created>
  <dcterms:modified xsi:type="dcterms:W3CDTF">2025-04-24T09:37:00Z</dcterms:modified>
</cp:coreProperties>
</file>